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Tanum kommunfullmäktige</w:t>
      </w:r>
    </w:p>
    <w:p>
      <w:pPr>
        <w:pStyle w:val="Heading1"/>
      </w:pPr>
      <w:r>
        <w:t xml:space="preserve">Ökad medborgardialog om kommunbudgeten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Tanum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Tanums budgetprocess är sluten enligt kommunens egna utvärderingar. Medborgarinflytande stärker demokrati och legitimitet. Öppen dialog ger bättre prioriteringar.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Tanum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två öppna budgetmöten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alla budgetunderlag på kommunens webbplats.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inrätta ett digitalt medborgarförslagssystem.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kommunstyrelsen ska redovisa hur medborgar synpunkter beaktats.</w:t>
      </w:r>
    </w:p>
    <w:p>
      <w:pPr>
        <w:spacing w:before="360"/>
      </w:pPr>
    </w:p>
    <w:p>
      <w:r>
        <w:t xml:space="preserve">Tanum,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Tanum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2026-07-14T01:31:15.024Z</dcterms:created>
  <dcterms:modified xsi:type="dcterms:W3CDTF">2026-07-14T01:31:15.024Z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